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4F1" w:rsidRPr="00F518CA" w:rsidRDefault="005B24F1" w:rsidP="00F518CA">
      <w:pPr>
        <w:pStyle w:val="a3"/>
        <w:shd w:val="clear" w:color="auto" w:fill="FFFFFF"/>
        <w:spacing w:before="0" w:beforeAutospacing="0"/>
        <w:ind w:left="-709"/>
        <w:jc w:val="both"/>
        <w:rPr>
          <w:b/>
          <w:sz w:val="28"/>
          <w:szCs w:val="28"/>
        </w:rPr>
      </w:pPr>
      <w:bookmarkStart w:id="0" w:name="_GoBack"/>
      <w:r w:rsidRPr="00F518CA">
        <w:rPr>
          <w:b/>
          <w:sz w:val="28"/>
          <w:szCs w:val="28"/>
        </w:rPr>
        <w:t>Опросник А. И. Захарова «Подверженность ребенка страхам»</w:t>
      </w:r>
    </w:p>
    <w:bookmarkEnd w:id="0"/>
    <w:p w:rsidR="005B24F1" w:rsidRPr="00F518CA" w:rsidRDefault="005B24F1" w:rsidP="00F518CA">
      <w:pPr>
        <w:pStyle w:val="a3"/>
        <w:shd w:val="clear" w:color="auto" w:fill="FFFFFF"/>
        <w:spacing w:before="0" w:beforeAutospacing="0"/>
        <w:ind w:left="-709"/>
        <w:jc w:val="both"/>
        <w:rPr>
          <w:sz w:val="28"/>
          <w:szCs w:val="28"/>
        </w:rPr>
      </w:pPr>
      <w:r w:rsidRPr="00F518CA">
        <w:rPr>
          <w:rStyle w:val="a4"/>
          <w:sz w:val="28"/>
          <w:szCs w:val="28"/>
        </w:rPr>
        <w:t>Цель.</w:t>
      </w:r>
      <w:r w:rsidRPr="00F518CA">
        <w:rPr>
          <w:sz w:val="28"/>
          <w:szCs w:val="28"/>
        </w:rPr>
        <w:t> Определение страхов, присущих среднему дошкольному возрасту.</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Методика проводится в виде индивидуальной беседы с детьми, в процессе которой им задаются 29 вопросов.</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Ты боишься или не боишься:</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1) когда остаешься один дома;</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2) нападения;</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3) заболеть;</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4) умереть;</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 xml:space="preserve">5) смерти </w:t>
      </w:r>
      <w:proofErr w:type="gramStart"/>
      <w:r w:rsidRPr="00F518CA">
        <w:rPr>
          <w:sz w:val="28"/>
          <w:szCs w:val="28"/>
        </w:rPr>
        <w:t>близких</w:t>
      </w:r>
      <w:proofErr w:type="gramEnd"/>
      <w:r w:rsidRPr="00F518CA">
        <w:rPr>
          <w:sz w:val="28"/>
          <w:szCs w:val="28"/>
        </w:rPr>
        <w:t>;</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6) чужих людей;</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7) потеряться;</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8) мамы, папы;</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9) наказания;</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 xml:space="preserve">10) сказочных героев (Бабы-яги, Кощея, </w:t>
      </w:r>
      <w:proofErr w:type="spellStart"/>
      <w:r w:rsidRPr="00F518CA">
        <w:rPr>
          <w:sz w:val="28"/>
          <w:szCs w:val="28"/>
        </w:rPr>
        <w:t>Бармалея</w:t>
      </w:r>
      <w:proofErr w:type="spellEnd"/>
      <w:r w:rsidRPr="00F518CA">
        <w:rPr>
          <w:sz w:val="28"/>
          <w:szCs w:val="28"/>
        </w:rPr>
        <w:t>…);</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11) опоздания в детский сад (школу);</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12) страшных снов;</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13) темноты;</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14) животных (волка, змей…);</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15) насекомых;</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16) транспорта (самолетов, машин…);</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17) высоты;</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18) глубины;</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19) тесных маленьких помещений;</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20) воды;</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lastRenderedPageBreak/>
        <w:t>21) огня;</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22) войны;</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23) стихий (наводнения, урагана, грозы);</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24) больших помещений, улиц;</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25) </w:t>
      </w:r>
      <w:hyperlink r:id="rId5" w:tgtFrame="_self" w:history="1">
        <w:r w:rsidRPr="00F518CA">
          <w:rPr>
            <w:rStyle w:val="a5"/>
            <w:color w:val="auto"/>
            <w:sz w:val="28"/>
            <w:szCs w:val="28"/>
            <w:u w:val="none"/>
          </w:rPr>
          <w:t>врачей</w:t>
        </w:r>
      </w:hyperlink>
      <w:r w:rsidRPr="00F518CA">
        <w:rPr>
          <w:sz w:val="28"/>
          <w:szCs w:val="28"/>
        </w:rPr>
        <w:t>;</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26) уколов;</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27) боли;</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28) крови;</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29) резких, громких звуков (когда внезапно что-то упадет, стукнет)?</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Беседа проводится неторопливо и </w:t>
      </w:r>
      <w:hyperlink r:id="rId6" w:tgtFrame="_self" w:history="1">
        <w:r w:rsidRPr="00F518CA">
          <w:rPr>
            <w:rStyle w:val="a5"/>
            <w:color w:val="auto"/>
            <w:sz w:val="28"/>
            <w:szCs w:val="28"/>
            <w:u w:val="none"/>
          </w:rPr>
          <w:t>обстоятельно</w:t>
        </w:r>
      </w:hyperlink>
      <w:r w:rsidRPr="00F518CA">
        <w:rPr>
          <w:sz w:val="28"/>
          <w:szCs w:val="28"/>
        </w:rPr>
        <w:t>. Экспериментатор перечисляет страхи и ждет ответа от детей «да» – «нет» или «боюсь» – «не боюсь». Вопрос, боится или не боится ребенок, повторяется время от времени, чтобы избежать наводки страхов, их непроизвольного внушения. При стереотипном отрицании всех страхов детей экспериментатор просит давать развернутые ответы типа «не боюсь темноты», а не «нет» или «да». Взрослый, задающий вопросы, сидит рядом, а не напротив ребенка, периодически подбадривает его и хвалит за то, что он говорит все как есть.</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Подсчитывается количество указанных ребенком страхов: 0-12 – низкий уровень подверженности страхам; 13–15 – средний уровень подверженности страхам; 16–29 – высокий уровень подверженности страхам.</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Так, высокий уровень подверженности страхам предполагает наличие у ребенка таких особенностей, как неадекватная самооценка, тревожность, напряженность, пугливость, низкая общительность, подозрительность и недоверчивость к окружающим.</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 xml:space="preserve">Средний уровень подверженности страхам предполагает достаточную общительность, </w:t>
      </w:r>
      <w:proofErr w:type="spellStart"/>
      <w:r w:rsidRPr="00F518CA">
        <w:rPr>
          <w:sz w:val="28"/>
          <w:szCs w:val="28"/>
        </w:rPr>
        <w:t>ненапряженность</w:t>
      </w:r>
      <w:proofErr w:type="spellEnd"/>
      <w:r w:rsidRPr="00F518CA">
        <w:rPr>
          <w:sz w:val="28"/>
          <w:szCs w:val="28"/>
        </w:rPr>
        <w:t>, быстроту ответов на вопросы.</w:t>
      </w:r>
    </w:p>
    <w:p w:rsidR="005B24F1" w:rsidRPr="00F518CA" w:rsidRDefault="005B24F1" w:rsidP="00F518CA">
      <w:pPr>
        <w:pStyle w:val="a3"/>
        <w:shd w:val="clear" w:color="auto" w:fill="FFFFFF"/>
        <w:spacing w:before="0" w:beforeAutospacing="0"/>
        <w:ind w:left="-709"/>
        <w:jc w:val="both"/>
        <w:rPr>
          <w:sz w:val="28"/>
          <w:szCs w:val="28"/>
        </w:rPr>
      </w:pPr>
      <w:r w:rsidRPr="00F518CA">
        <w:rPr>
          <w:sz w:val="28"/>
          <w:szCs w:val="28"/>
        </w:rPr>
        <w:t xml:space="preserve">Низкий уровень подверженности страхам характеризуется наименьшей тревожностью, </w:t>
      </w:r>
      <w:proofErr w:type="spellStart"/>
      <w:r w:rsidRPr="00F518CA">
        <w:rPr>
          <w:sz w:val="28"/>
          <w:szCs w:val="28"/>
        </w:rPr>
        <w:t>ненапряженностью</w:t>
      </w:r>
      <w:proofErr w:type="spellEnd"/>
      <w:r w:rsidRPr="00F518CA">
        <w:rPr>
          <w:sz w:val="28"/>
          <w:szCs w:val="28"/>
        </w:rPr>
        <w:t>, уверенностью в себе, общительностью, налаженностью отношений с окружающими, преобладанием повышенного настроения, быстротой ответов на вопросы.</w:t>
      </w:r>
    </w:p>
    <w:p w:rsidR="00644B06" w:rsidRPr="00F518CA" w:rsidRDefault="00644B06" w:rsidP="00F518CA">
      <w:pPr>
        <w:ind w:left="-709"/>
        <w:jc w:val="both"/>
        <w:rPr>
          <w:rFonts w:ascii="Times New Roman" w:hAnsi="Times New Roman" w:cs="Times New Roman"/>
          <w:sz w:val="28"/>
          <w:szCs w:val="28"/>
        </w:rPr>
      </w:pPr>
    </w:p>
    <w:sectPr w:rsidR="00644B06" w:rsidRPr="00F51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F1"/>
    <w:rsid w:val="005B24F1"/>
    <w:rsid w:val="00644B06"/>
    <w:rsid w:val="00F51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4F1"/>
    <w:rPr>
      <w:b/>
      <w:bCs/>
    </w:rPr>
  </w:style>
  <w:style w:type="character" w:styleId="a5">
    <w:name w:val="Hyperlink"/>
    <w:basedOn w:val="a0"/>
    <w:uiPriority w:val="99"/>
    <w:semiHidden/>
    <w:unhideWhenUsed/>
    <w:rsid w:val="005B24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4F1"/>
    <w:rPr>
      <w:b/>
      <w:bCs/>
    </w:rPr>
  </w:style>
  <w:style w:type="character" w:styleId="a5">
    <w:name w:val="Hyperlink"/>
    <w:basedOn w:val="a0"/>
    <w:uiPriority w:val="99"/>
    <w:semiHidden/>
    <w:unhideWhenUsed/>
    <w:rsid w:val="005B2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5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ed-tutorial.ru/m-lib/b/book/2947260801/12" TargetMode="External"/><Relationship Id="rId5" Type="http://schemas.openxmlformats.org/officeDocument/2006/relationships/hyperlink" Target="https://med-tutorial.ru/med-doctor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2012</Characters>
  <Application>Microsoft Office Word</Application>
  <DocSecurity>0</DocSecurity>
  <Lines>16</Lines>
  <Paragraphs>4</Paragraphs>
  <ScaleCrop>false</ScaleCrop>
  <Company>Microsoft</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2021-09-28T05:35:00Z</dcterms:created>
  <dcterms:modified xsi:type="dcterms:W3CDTF">2021-09-29T04:23:00Z</dcterms:modified>
</cp:coreProperties>
</file>